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tLeast" w:line="100" w:before="0" w:after="170"/>
        <w:ind w:left="0" w:right="0" w:hanging="0"/>
        <w:jc w:val="center"/>
        <w:rPr>
          <w:rFonts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SOLICITAÇÃO DE PROPOSTA COMERCIAL</w:t>
      </w:r>
    </w:p>
    <w:p>
      <w:pPr>
        <w:pStyle w:val="Normal"/>
        <w:suppressAutoHyphens w:val="true"/>
        <w:spacing w:lineRule="atLeast" w:line="100" w:before="0" w:after="170"/>
        <w:ind w:left="0" w:right="0" w:hanging="0"/>
        <w:jc w:val="center"/>
        <w:rPr>
          <w:rFonts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SEI 0006636-15.2021.6.21.8000</w:t>
      </w:r>
    </w:p>
    <w:p>
      <w:pPr>
        <w:pStyle w:val="Normal"/>
        <w:suppressAutoHyphens w:val="true"/>
        <w:spacing w:lineRule="atLeast" w:line="100" w:before="0" w:after="170"/>
        <w:ind w:left="0" w:right="0" w:hanging="0"/>
        <w:jc w:val="center"/>
        <w:rPr>
          <w:rFonts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>
          <w:rFonts w:cs="Times New Roman"/>
          <w:szCs w:val="24"/>
        </w:rPr>
      </w:pPr>
      <w:r>
        <w:rPr>
          <w:rFonts w:cs="Times New Roman"/>
          <w:szCs w:val="24"/>
        </w:rPr>
        <w:t>Este Tribunal está realizando procedimentos para aquisição dos materiais a seguir especificados.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>
          <w:rFonts w:cs="Times New Roman"/>
          <w:szCs w:val="24"/>
        </w:rPr>
      </w:pPr>
      <w:r>
        <w:rPr>
          <w:rFonts w:cs="Times New Roman"/>
          <w:szCs w:val="24"/>
        </w:rPr>
        <w:t>Caso a empresa tenha interesse em participar, pedimos a gentileza de encaminhar proposta que atenda, rigorosamente, os termos desta solicitação e anexo.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/>
      </w:pPr>
      <w:r>
        <w:rPr>
          <w:rFonts w:cs="Times New Roman"/>
          <w:color w:val="000000"/>
          <w:kern w:val="2"/>
          <w:sz w:val="24"/>
          <w:szCs w:val="24"/>
        </w:rPr>
        <w:t xml:space="preserve">Para participar preencha esta solicitação e envie para o e-mail </w:t>
      </w:r>
      <w:r>
        <w:rPr>
          <w:rStyle w:val="LinkdaInternet"/>
          <w:rFonts w:cs="Times New Roman"/>
          <w:color w:val="0000FF"/>
          <w:kern w:val="2"/>
          <w:sz w:val="24"/>
          <w:szCs w:val="24"/>
        </w:rPr>
        <w:t>compras@tre-rs.jus.br</w:t>
      </w:r>
      <w:r>
        <w:rPr>
          <w:rFonts w:cs="Times New Roman"/>
          <w:color w:val="000000"/>
          <w:kern w:val="2"/>
          <w:sz w:val="24"/>
          <w:szCs w:val="24"/>
        </w:rPr>
        <w:t>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/>
      </w:pPr>
      <w:r>
        <w:rPr>
          <w:rFonts w:cs="Times New Roman"/>
          <w:color w:val="000000"/>
          <w:kern w:val="2"/>
          <w:sz w:val="24"/>
          <w:szCs w:val="24"/>
          <w:shd w:fill="auto" w:val="clear"/>
        </w:rPr>
        <w:t>O envio da proposta significa a concordância com todas as estipulações do Termo de Referência – COINP 23A/2021.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/>
      </w:pPr>
      <w:r>
        <w:rPr>
          <w:rFonts w:cs="Times New Roman"/>
          <w:b/>
          <w:bCs/>
          <w:i w:val="false"/>
          <w:iCs w:val="false"/>
          <w:color w:val="000000"/>
          <w:kern w:val="2"/>
          <w:sz w:val="24"/>
          <w:szCs w:val="24"/>
          <w:shd w:fill="auto" w:val="clear"/>
        </w:rPr>
        <w:t>O preço deve contemplar todos os custos, tributos, despesas de frete e outros encargos que incidam sobre os materiais/serviços</w:t>
      </w:r>
      <w:r>
        <w:rPr>
          <w:rFonts w:cs="Times New Roman"/>
          <w:b/>
          <w:bCs/>
          <w:color w:val="000000"/>
          <w:kern w:val="2"/>
          <w:sz w:val="24"/>
          <w:szCs w:val="24"/>
          <w:shd w:fill="auto" w:val="clear"/>
        </w:rPr>
        <w:t>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/>
      </w:pPr>
      <w:r>
        <w:rPr>
          <w:rFonts w:cs="Times New Roman"/>
          <w:b w:val="false"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shd w:fill="auto" w:val="clear"/>
        </w:rPr>
        <w:t>Os materiais deverão atender às especificações das normas técnicas pertinentes, em especial a NBR 9050/2015.</w:t>
      </w:r>
      <w:r>
        <w:rPr>
          <w:rFonts w:cs="Times New Roman"/>
          <w:b/>
          <w:bCs/>
          <w:color w:val="000000"/>
          <w:kern w:val="2"/>
          <w:sz w:val="24"/>
          <w:szCs w:val="24"/>
          <w:shd w:fill="auto" w:val="clear"/>
        </w:rPr>
        <w:t xml:space="preserve"> </w:t>
      </w:r>
    </w:p>
    <w:tbl>
      <w:tblPr>
        <w:tblW w:w="1018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5627"/>
        <w:gridCol w:w="1082"/>
        <w:gridCol w:w="1425"/>
        <w:gridCol w:w="1395"/>
      </w:tblGrid>
      <w:tr>
        <w:trPr>
          <w:tblHeader w:val="true"/>
          <w:trHeight w:val="400" w:hRule="atLeast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b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kern w:val="2"/>
                <w:sz w:val="24"/>
                <w:szCs w:val="24"/>
              </w:rPr>
              <w:t>Item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b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kern w:val="2"/>
                <w:sz w:val="24"/>
                <w:szCs w:val="24"/>
              </w:rPr>
              <w:t>Especificação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b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kern w:val="2"/>
                <w:sz w:val="24"/>
                <w:szCs w:val="24"/>
              </w:rPr>
              <w:t>Quant.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widowControl/>
              <w:tabs>
                <w:tab w:val="clear" w:pos="4419"/>
                <w:tab w:val="clear" w:pos="8838"/>
              </w:tabs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eastAsia="Times New Roman" w:cs="Arial"/>
                <w:b/>
                <w:b/>
                <w:bCs/>
                <w:color w:val="0047FF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/>
                <w:bCs/>
                <w:color w:val="0047FF"/>
                <w:kern w:val="2"/>
                <w:sz w:val="24"/>
                <w:szCs w:val="24"/>
                <w:lang w:val="pt-BR" w:eastAsia="zxx" w:bidi="ar-SA"/>
              </w:rPr>
              <w:t>Marca e</w:t>
            </w:r>
          </w:p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b/>
                <w:b/>
                <w:bCs/>
                <w:color w:val="0047FF"/>
                <w:kern w:val="2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47FF"/>
                <w:kern w:val="2"/>
                <w:sz w:val="24"/>
                <w:szCs w:val="24"/>
              </w:rPr>
              <w:t>modelo (código do fabricante)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b/>
                <w:b/>
                <w:bCs/>
                <w:color w:val="0047FF"/>
                <w:kern w:val="2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47FF"/>
                <w:kern w:val="2"/>
                <w:sz w:val="24"/>
                <w:szCs w:val="24"/>
              </w:rPr>
              <w:t>Valor</w:t>
            </w:r>
          </w:p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b/>
                <w:b/>
                <w:bCs/>
                <w:color w:val="0047FF"/>
                <w:kern w:val="2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47FF"/>
                <w:kern w:val="2"/>
                <w:sz w:val="24"/>
                <w:szCs w:val="24"/>
              </w:rPr>
              <w:t>total (R$)</w:t>
            </w:r>
          </w:p>
        </w:tc>
      </w:tr>
      <w:tr>
        <w:trPr>
          <w:trHeight w:val="370" w:hRule="atLeast"/>
        </w:trPr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textAlignment w:val="top"/>
              <w:rPr>
                <w:rFonts w:eastAsia="Times New Roman" w:cs="Arial"/>
                <w:b w:val="false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1</w:t>
            </w:r>
          </w:p>
        </w:tc>
        <w:tc>
          <w:tcPr>
            <w:tcW w:w="5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Arial"/>
                <w:b/>
                <w:bCs/>
                <w:color w:val="000000"/>
                <w:kern w:val="2"/>
                <w:sz w:val="24"/>
                <w:szCs w:val="24"/>
                <w:lang w:val="pt-BR" w:eastAsia="zxx" w:bidi="ar-SA"/>
              </w:rPr>
              <w:t>Barra de apoio reta – comprimento: 80 cm; Material: aço inoxidável.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 xml:space="preserve"> Cor: metálica natural, com acabamento polido. O tubo metálico deverá ter entre 30 mm e 45 mm de diâmetro. A barra deverá permitir a fixação em quatro pontos. Deverão ser fornecidos 4 (quatro) parafusos fabricados em aço inoxidável e 4 (quatro) buchas de Nylon. Marcas de referência: Shield e Levevida. Conforme Termo de Referência – COINP 23A/2021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>
                <w:rFonts w:eastAsia="Arial" w:cs="Arial"/>
                <w:b w:val="false"/>
                <w:b w:val="false"/>
                <w:bCs w:val="false"/>
                <w:kern w:val="2"/>
                <w:sz w:val="24"/>
                <w:szCs w:val="24"/>
                <w:lang w:val="pt-BR"/>
              </w:rPr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6</w:t>
            </w:r>
          </w:p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/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Unidades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</w:tr>
      <w:tr>
        <w:trPr>
          <w:trHeight w:val="370" w:hRule="atLeast"/>
        </w:trPr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textAlignment w:val="top"/>
              <w:rPr>
                <w:rFonts w:eastAsia="Times New Roman" w:cs="Arial"/>
                <w:b w:val="false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2</w:t>
            </w:r>
          </w:p>
        </w:tc>
        <w:tc>
          <w:tcPr>
            <w:tcW w:w="5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Arial"/>
                <w:b/>
                <w:bCs/>
                <w:color w:val="000000"/>
                <w:kern w:val="2"/>
                <w:sz w:val="24"/>
                <w:szCs w:val="24"/>
                <w:lang w:val="pt-BR" w:eastAsia="zxx" w:bidi="ar-SA"/>
              </w:rPr>
              <w:t>Barra de apoio reta – comprimento: 40 cm: Material: aço inoxidável.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 xml:space="preserve"> Cor: metálica natural, com acabamento polido. O tubo metálico deverá ter entre 30 mm e 45 mm de diâmetro. A barra deverá permitir a fixação em quatro pontos. Deverão ser fornecidos 4 (quatro) parafusos fabricados em aço inoxidável e 4 (quatro) buchas de Nylon. Marcas de referência: Shield e Levevida. Conforme Termo de Referência – COINP 23A/2021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>
                <w:rFonts w:eastAsia="Arial" w:cs="Arial"/>
                <w:b w:val="false"/>
                <w:b w:val="false"/>
                <w:bCs w:val="false"/>
                <w:kern w:val="2"/>
                <w:sz w:val="24"/>
                <w:szCs w:val="24"/>
                <w:lang w:val="pt-BR"/>
              </w:rPr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14</w:t>
            </w:r>
          </w:p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/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Unidades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</w:tr>
      <w:tr>
        <w:trPr>
          <w:trHeight w:val="370" w:hRule="atLeast"/>
        </w:trPr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textAlignment w:val="top"/>
              <w:rPr>
                <w:rFonts w:eastAsia="Times New Roman" w:cs="Arial"/>
                <w:b w:val="false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3</w:t>
            </w:r>
          </w:p>
        </w:tc>
        <w:tc>
          <w:tcPr>
            <w:tcW w:w="5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Arial"/>
                <w:b/>
                <w:bCs/>
                <w:color w:val="000000"/>
                <w:kern w:val="2"/>
                <w:sz w:val="24"/>
                <w:szCs w:val="24"/>
                <w:lang w:val="pt-BR" w:eastAsia="zxx" w:bidi="ar-SA"/>
              </w:rPr>
              <w:t>Barras de apoio lateral para lavatório: O kit deverá ser composto por 2 (duas) barras de apoio lateral do tipo “U”. Material: aço inoxidável.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 xml:space="preserve"> Cor: metálica natural, com acabamento polido. Dimensões: 30 cm comprimento; altura entre 19 cm e 25 cm. O tubo metálico deverá ter entre 30 mm e 45 mm de diâmetro. A barra deverá permitir a fixação em seis pontos. Deverão ser fornecidos 6 (seis) parafusos, fabricados em aço inoxidável, e 6 (seis) buchas de Nylon. Marca de referência: Levevida/Levebarras e Linha conforto – Deca. Conforme Termo de Referência – COINP 23A/2021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>
                <w:rFonts w:eastAsia="Arial" w:cs="Arial"/>
                <w:b w:val="false"/>
                <w:b w:val="false"/>
                <w:bCs w:val="false"/>
                <w:kern w:val="2"/>
                <w:sz w:val="24"/>
                <w:szCs w:val="24"/>
                <w:lang w:val="pt-BR"/>
              </w:rPr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10</w:t>
            </w:r>
          </w:p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/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Unidades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</w:tr>
      <w:tr>
        <w:trPr>
          <w:trHeight w:val="370" w:hRule="atLeast"/>
        </w:trPr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textAlignment w:val="top"/>
              <w:rPr>
                <w:rFonts w:eastAsia="Times New Roman" w:cs="Arial"/>
                <w:b w:val="false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4</w:t>
            </w:r>
          </w:p>
        </w:tc>
        <w:tc>
          <w:tcPr>
            <w:tcW w:w="5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Arial"/>
                <w:b/>
                <w:bCs/>
                <w:color w:val="000000"/>
                <w:kern w:val="2"/>
                <w:sz w:val="24"/>
                <w:szCs w:val="24"/>
                <w:lang w:val="pt-BR" w:eastAsia="zxx" w:bidi="ar-SA"/>
              </w:rPr>
              <w:t>Piso tátil direcional para uso interno em borracha sintética flexível, na cor preta,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 xml:space="preserve"> largura de 250mm (duzentos e cinquenta milímetros), altura de 250mm (duzentos e cinquenta milímetros), espessura: base de 2mm (dois milímetros); relevo de 3mm (três milímetros), total de 5mm (cinco milímetros). Modelo e Marca de referência: piso tátil de alerta e direcional interno Total Acessibilidade - Região Sul. Conforme Termo de Referência – COINP 23A/2021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>
                <w:rFonts w:eastAsia="Arial" w:cs="Arial"/>
                <w:b w:val="false"/>
                <w:b w:val="false"/>
                <w:bCs w:val="false"/>
                <w:kern w:val="2"/>
                <w:sz w:val="24"/>
                <w:szCs w:val="24"/>
                <w:lang w:val="pt-BR"/>
              </w:rPr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50</w:t>
            </w:r>
          </w:p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/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Unidades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</w:tr>
      <w:tr>
        <w:trPr>
          <w:trHeight w:val="370" w:hRule="atLeast"/>
        </w:trPr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textAlignment w:val="top"/>
              <w:rPr>
                <w:rFonts w:eastAsia="Times New Roman" w:cs="Arial"/>
                <w:b w:val="false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5</w:t>
            </w:r>
          </w:p>
        </w:tc>
        <w:tc>
          <w:tcPr>
            <w:tcW w:w="5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Arial"/>
                <w:b/>
                <w:bCs/>
                <w:color w:val="000000"/>
                <w:kern w:val="2"/>
                <w:sz w:val="24"/>
                <w:szCs w:val="24"/>
                <w:lang w:val="pt-BR" w:eastAsia="zxx" w:bidi="ar-SA"/>
              </w:rPr>
              <w:t>Adesivo de contato para fixação de placas de piso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: composição: solvente alifático, solventes oxigenados, resinas sintéticas e aditivos, sem toluol. Tipo: adesivo de contato extra. Unidade de fornecimento: lata de 730gr (setecentos e trinta gramas). Modelo e marca de referência: Adesivo de contato Extra CASCOLA. Conforme Termo de Referência – COINP 23A/2021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>
                <w:rFonts w:eastAsia="Arial" w:cs="Arial"/>
                <w:b w:val="false"/>
                <w:b w:val="false"/>
                <w:bCs w:val="false"/>
                <w:kern w:val="2"/>
                <w:sz w:val="24"/>
                <w:szCs w:val="24"/>
                <w:lang w:val="pt-BR"/>
              </w:rPr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10</w:t>
            </w:r>
          </w:p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/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Latas de 730 gr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</w:tr>
      <w:tr>
        <w:trPr>
          <w:trHeight w:val="370" w:hRule="atLeast"/>
        </w:trPr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textAlignment w:val="top"/>
              <w:rPr>
                <w:rFonts w:eastAsia="Times New Roman" w:cs="Arial"/>
                <w:b w:val="false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6</w:t>
            </w:r>
          </w:p>
        </w:tc>
        <w:tc>
          <w:tcPr>
            <w:tcW w:w="5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Arial"/>
                <w:b/>
                <w:bCs/>
                <w:color w:val="000000"/>
                <w:kern w:val="2"/>
                <w:sz w:val="24"/>
                <w:szCs w:val="24"/>
                <w:lang w:val="pt-BR" w:eastAsia="zxx" w:bidi="ar-SA"/>
              </w:rPr>
              <w:t>Adesivo vedante de borda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: composição: resina acrílica e metil etil cetona. Tipo: vedador de borda. Unidade de fornecimento: tubo com 73gr. (setenta e três gramas).Modelo e Marca de referência: vedador de Bordas para Fita Antiderrapante Safety-walk do fabricante 3M. Conforme Termo de Referência – COINP 23A/2021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>
                <w:rFonts w:eastAsia="Arial" w:cs="Arial"/>
                <w:b w:val="false"/>
                <w:b w:val="false"/>
                <w:bCs w:val="false"/>
                <w:kern w:val="2"/>
                <w:sz w:val="24"/>
                <w:szCs w:val="24"/>
                <w:lang w:val="pt-BR"/>
              </w:rPr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15</w:t>
            </w:r>
          </w:p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/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Bisnagas de 73 gr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0" w:right="0" w:hanging="0"/>
        <w:rPr>
          <w:rFonts w:cs="Arial"/>
          <w:b w:val="false"/>
          <w:b w:val="false"/>
          <w:bCs w:val="false"/>
          <w:kern w:val="2"/>
          <w:sz w:val="6"/>
          <w:szCs w:val="6"/>
        </w:rPr>
      </w:pPr>
      <w:r>
        <w:rPr>
          <w:rFonts w:cs="Arial"/>
          <w:b w:val="false"/>
          <w:bCs w:val="false"/>
          <w:kern w:val="2"/>
          <w:sz w:val="6"/>
          <w:szCs w:val="6"/>
        </w:rPr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/>
      </w:pPr>
      <w:r>
        <w:rPr>
          <w:b/>
          <w:bCs/>
        </w:rPr>
        <w:t>AMOSTRAS: O detentor da proposta de menor preço para cada item, no caso de ter ofertado marca e modelo diversos das indicadas como referência de qualidade</w:t>
      </w:r>
      <w:r>
        <w:rPr/>
        <w:t xml:space="preserve">, em que não foi possível verificar a correspondência ao que foi especificado por meio de diligência, será convocado a apresentar amostra do material. 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eastAsia="ArialMT" w:cs="Times New Roman"/>
          <w:b/>
          <w:b/>
          <w:bCs/>
          <w:color w:val="000000"/>
          <w:szCs w:val="24"/>
        </w:rPr>
      </w:pPr>
      <w:r>
        <w:rPr>
          <w:rFonts w:eastAsia="ArialMT" w:cs="Times New Roman"/>
          <w:b/>
          <w:bCs/>
          <w:color w:val="000000"/>
          <w:szCs w:val="24"/>
        </w:rPr>
        <w:t>GARANTIA/VALIDADE: Deverá ser ofertado prazo mínimo de garantia de 90 (noventa) dias, a partir do recebimento definitivo do material, sem prejuízo de eventual garantia superior dada por fabricante.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/>
      </w:pPr>
      <w:r>
        <w:rPr>
          <w:rFonts w:eastAsia="ArialMT" w:cs="Times New Roman"/>
          <w:b/>
          <w:bCs/>
          <w:color w:val="000000"/>
          <w:szCs w:val="24"/>
        </w:rPr>
        <w:t xml:space="preserve">PRAZO DE ENTREGA: </w:t>
      </w:r>
      <w:r>
        <w:rPr>
          <w:rFonts w:eastAsia="ArialMT" w:cs="Times New Roman"/>
          <w:b w:val="false"/>
          <w:bCs w:val="false"/>
          <w:color w:val="000000"/>
          <w:szCs w:val="24"/>
        </w:rPr>
        <w:t xml:space="preserve">O prazo para a entrega dos materiais será de, </w:t>
      </w:r>
      <w:r>
        <w:rPr>
          <w:rFonts w:eastAsia="ArialMT" w:cs="Times New Roman"/>
          <w:b/>
          <w:bCs/>
          <w:color w:val="000000"/>
          <w:szCs w:val="24"/>
        </w:rPr>
        <w:t>no máximo, 30 (trinta) dias</w:t>
      </w:r>
      <w:r>
        <w:rPr>
          <w:rFonts w:eastAsia="ArialMT" w:cs="Times New Roman"/>
          <w:b w:val="false"/>
          <w:bCs w:val="false"/>
          <w:color w:val="000000"/>
          <w:szCs w:val="24"/>
        </w:rPr>
        <w:t>, contados a partir do aceite da nota de empenho pela CONTRATADA.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/>
      </w:pPr>
      <w:r>
        <w:rPr>
          <w:rFonts w:eastAsia="ArialMT" w:cs="Times New Roman"/>
          <w:b/>
          <w:bCs/>
          <w:kern w:val="2"/>
          <w:sz w:val="24"/>
          <w:szCs w:val="24"/>
        </w:rPr>
        <w:t xml:space="preserve">ENTREGA: </w:t>
      </w:r>
      <w:r>
        <w:rPr/>
        <w:t xml:space="preserve">Os materiais deverão ser entregues em perfeitas condições de uso e armazenamento, em embalagem original da fábrica, no Almoxarifado do TRE-RS, localizado na Rua Duque de Caxias, 350, Porto Alegre, RS, no período das 13 às 19 horas, de segunda a sexta-feira. </w:t>
      </w:r>
      <w:r>
        <w:rPr>
          <w:rFonts w:eastAsia="ArialMT" w:cs="Times New Roman"/>
          <w:b/>
          <w:bCs/>
          <w:kern w:val="2"/>
          <w:sz w:val="24"/>
          <w:szCs w:val="24"/>
        </w:rPr>
        <w:t>A entrega deverá ser agendada junto à Seção de Almoxarifado – SEMOX (almoxarifado@tre-rs.jus.br e 51-3294-8316), com 1 (um) dia útil de antecedência, no horário das 12:00 às 19:00 horas, de segunda a sexta-feira.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/>
      </w:pPr>
      <w:r>
        <w:rPr>
          <w:rFonts w:cs="Times New Roman"/>
          <w:b/>
          <w:bCs w:val="false"/>
          <w:color w:val="0000FF"/>
          <w:kern w:val="2"/>
          <w:sz w:val="24"/>
          <w:szCs w:val="24"/>
        </w:rPr>
        <w:t>DATA DA PROPOSTA:</w:t>
      </w:r>
      <w:r>
        <w:rPr>
          <w:rFonts w:cs="Times New Roman"/>
          <w:b w:val="false"/>
          <w:bCs w:val="false"/>
          <w:color w:val="0000FF"/>
          <w:kern w:val="2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color w:val="000000"/>
          <w:kern w:val="2"/>
          <w:sz w:val="24"/>
          <w:szCs w:val="24"/>
        </w:rPr>
        <w:t>__________.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/>
      </w:pPr>
      <w:r>
        <w:rPr>
          <w:rFonts w:cs="Times New Roman"/>
          <w:b/>
          <w:color w:val="000000"/>
          <w:kern w:val="2"/>
          <w:sz w:val="24"/>
          <w:szCs w:val="24"/>
        </w:rPr>
        <w:t>VALIDADE DA PROPOSTA:</w:t>
      </w:r>
      <w:r>
        <w:rPr>
          <w:rFonts w:cs="Times New Roman"/>
          <w:color w:val="000000"/>
          <w:kern w:val="2"/>
          <w:sz w:val="24"/>
          <w:szCs w:val="24"/>
        </w:rPr>
        <w:t xml:space="preserve"> 45 dias.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cs="Times New Roman"/>
          <w:b/>
          <w:b/>
          <w:color w:val="000000"/>
          <w:kern w:val="2"/>
          <w:sz w:val="24"/>
          <w:szCs w:val="24"/>
        </w:rPr>
      </w:pPr>
      <w:r>
        <w:rPr>
          <w:rFonts w:cs="Times New Roman"/>
          <w:b/>
          <w:color w:val="000000"/>
          <w:kern w:val="2"/>
          <w:sz w:val="24"/>
          <w:szCs w:val="24"/>
        </w:rPr>
        <w:t>DADOS DA EMPRESA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/>
      </w:pPr>
      <w:r>
        <w:rPr>
          <w:rFonts w:cs="Times New Roman"/>
          <w:b/>
          <w:color w:val="000000"/>
          <w:kern w:val="2"/>
          <w:sz w:val="24"/>
          <w:szCs w:val="24"/>
        </w:rPr>
        <w:t>*atenção: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color w:val="000000"/>
          <w:kern w:val="2"/>
          <w:sz w:val="24"/>
          <w:szCs w:val="24"/>
        </w:rPr>
        <w:t>é necessário que a empresa possua conta corrente pois, caso seja contratada, o pagamento somente poderá ser efetuado na conta corrente do mesmo CNPJ que contratou com o TRE-RS e emitiu o documento fiscal.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Razão Social: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/>
      </w:pPr>
      <w:r>
        <w:rPr>
          <w:rFonts w:cs="Times New Roman"/>
          <w:b/>
          <w:color w:val="0047FF"/>
          <w:kern w:val="2"/>
          <w:sz w:val="24"/>
          <w:szCs w:val="24"/>
        </w:rPr>
        <w:t>*</w:t>
      </w:r>
      <w:r>
        <w:rPr>
          <w:rFonts w:cs="Times New Roman"/>
          <w:color w:val="0047FF"/>
          <w:kern w:val="2"/>
          <w:sz w:val="24"/>
          <w:szCs w:val="24"/>
        </w:rPr>
        <w:t xml:space="preserve">CNPJ: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Município: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Endereço: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Telefone: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E-mail: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/>
      </w:pPr>
      <w:r>
        <w:rPr>
          <w:rFonts w:cs="Times New Roman"/>
          <w:color w:val="0047FF"/>
          <w:kern w:val="2"/>
          <w:sz w:val="24"/>
          <w:szCs w:val="24"/>
        </w:rPr>
        <w:t>Contato na Empresa:</w:t>
      </w:r>
      <w:r>
        <w:rPr>
          <w:rFonts w:cs="Times New Roman"/>
          <w:color w:val="0047FF"/>
          <w:sz w:val="24"/>
          <w:szCs w:val="24"/>
        </w:rPr>
        <w:t xml:space="preserve"> 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/>
      </w:pPr>
      <w:r>
        <w:rPr>
          <w:rFonts w:eastAsia="Times New Roman" w:cs="Times New Roman"/>
          <w:color w:val="0047FF"/>
          <w:kern w:val="2"/>
          <w:sz w:val="24"/>
          <w:szCs w:val="24"/>
          <w:shd w:fill="auto" w:val="clear"/>
          <w:lang w:val="pt-BR" w:eastAsia="zxx" w:bidi="ar-SA"/>
        </w:rPr>
        <w:t xml:space="preserve">Dados bancários da </w:t>
      </w:r>
      <w:r>
        <w:rPr>
          <w:rFonts w:eastAsia="Times New Roman" w:cs="Times New Roman"/>
          <w:b/>
          <w:color w:val="0047FF"/>
          <w:kern w:val="2"/>
          <w:sz w:val="24"/>
          <w:szCs w:val="24"/>
          <w:shd w:fill="auto" w:val="clear"/>
          <w:lang w:val="pt-BR" w:eastAsia="zxx" w:bidi="ar-SA"/>
        </w:rPr>
        <w:t>PESSOA JURÍDICA</w:t>
      </w:r>
      <w:r>
        <w:rPr>
          <w:rFonts w:eastAsia="Times New Roman" w:cs="Times New Roman"/>
          <w:color w:val="0047FF"/>
          <w:kern w:val="2"/>
          <w:sz w:val="24"/>
          <w:szCs w:val="24"/>
          <w:shd w:fill="auto" w:val="clear"/>
          <w:lang w:val="pt-BR" w:eastAsia="zxx" w:bidi="ar-SA"/>
        </w:rPr>
        <w:t xml:space="preserve"> que encaminhou a proposta</w:t>
      </w:r>
    </w:p>
    <w:p>
      <w:pPr>
        <w:pStyle w:val="Normal"/>
        <w:suppressAutoHyphens w:val="true"/>
        <w:snapToGrid w:val="false"/>
        <w:spacing w:lineRule="atLeast" w:line="100" w:before="0" w:after="57"/>
        <w:ind w:left="0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 w:val="false"/>
          <w:color w:val="0047FF"/>
          <w:kern w:val="2"/>
          <w:sz w:val="24"/>
          <w:szCs w:val="24"/>
          <w:shd w:fill="auto" w:val="clear"/>
          <w:lang w:val="pt-BR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0047FF"/>
          <w:kern w:val="2"/>
          <w:sz w:val="24"/>
          <w:szCs w:val="24"/>
          <w:shd w:fill="auto" w:val="clear"/>
          <w:lang w:val="pt-BR" w:eastAsia="zxx" w:bidi="ar-SA"/>
        </w:rPr>
        <w:t>Banco:                       Agência:                     Conta: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/>
      </w:pPr>
      <w:r>
        <w:rPr>
          <w:rFonts w:eastAsia="Times New Roman" w:cs="Times New Roman"/>
          <w:b/>
          <w:color w:val="auto"/>
          <w:kern w:val="2"/>
          <w:sz w:val="24"/>
          <w:szCs w:val="24"/>
          <w:lang w:val="pt-BR" w:eastAsia="zxx" w:bidi="ar-SA"/>
        </w:rPr>
        <w:t xml:space="preserve">CONTRATAÇÃO: </w:t>
      </w:r>
      <w:r>
        <w:rPr>
          <w:rFonts w:cs="Times New Roman"/>
          <w:sz w:val="24"/>
          <w:szCs w:val="24"/>
        </w:rPr>
        <w:t xml:space="preserve">Caso a presente proposta seja considerada a mais vantajosa para a Administração e esta decida por efetivar a contratação, a empresa receberá </w:t>
      </w:r>
      <w:r>
        <w:rPr>
          <w:rFonts w:cs="Times New Roman"/>
          <w:b/>
          <w:bCs/>
          <w:sz w:val="24"/>
          <w:szCs w:val="24"/>
        </w:rPr>
        <w:t>nota de empenho</w:t>
      </w:r>
      <w:r>
        <w:rPr>
          <w:rFonts w:cs="Times New Roman"/>
          <w:sz w:val="24"/>
          <w:szCs w:val="24"/>
        </w:rPr>
        <w:t xml:space="preserve"> em seu favor, devendo manifestar o </w:t>
      </w:r>
      <w:r>
        <w:rPr>
          <w:rFonts w:cs="Times New Roman"/>
          <w:b/>
          <w:bCs/>
          <w:sz w:val="24"/>
          <w:szCs w:val="24"/>
        </w:rPr>
        <w:t>aceite</w:t>
      </w:r>
      <w:r>
        <w:rPr>
          <w:rFonts w:cs="Times New Roman"/>
          <w:sz w:val="24"/>
          <w:szCs w:val="24"/>
        </w:rPr>
        <w:t xml:space="preserve"> no prazo máximo de 01 (um) dia útil contado do recebimento do documento.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Não ocorrendo expressamente o aceite da nota de empenho no prazo acima determinado, a aceitação será entendida como tácita.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recusa expressa em aceitar a nota de empenho poderá caracterizar descumprimento total da obrigação assumida, sujeita às sanções estabelecidas.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/>
      </w:pPr>
      <w:r>
        <w:rPr>
          <w:rFonts w:cs="Times New Roman"/>
          <w:b/>
          <w:color w:val="000000"/>
          <w:szCs w:val="24"/>
        </w:rPr>
        <w:t xml:space="preserve">DÚVIDAS/ INFORMAÇÕES: </w:t>
      </w:r>
      <w:r>
        <w:rPr>
          <w:rFonts w:eastAsia="Times New Roman" w:cs="Times New Roman"/>
          <w:color w:val="auto"/>
          <w:kern w:val="2"/>
          <w:sz w:val="24"/>
          <w:szCs w:val="24"/>
          <w:lang w:val="pt-BR" w:eastAsia="zxx" w:bidi="ar-SA"/>
        </w:rPr>
        <w:t>e-mail: compras@tre-rs.jus.br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</w:r>
    </w:p>
    <w:p>
      <w:pPr>
        <w:pStyle w:val="Normal"/>
        <w:suppressAutoHyphens w:val="true"/>
        <w:spacing w:lineRule="atLeast" w:line="100" w:before="0" w:after="0"/>
        <w:ind w:left="0" w:right="0" w:hanging="0"/>
        <w:jc w:val="left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Atenciosamente,</w:t>
      </w:r>
    </w:p>
    <w:p>
      <w:pPr>
        <w:pStyle w:val="Normal"/>
        <w:suppressAutoHyphens w:val="true"/>
        <w:spacing w:lineRule="atLeast" w:line="100" w:before="0" w:after="0"/>
        <w:ind w:left="0" w:right="0" w:hanging="0"/>
        <w:jc w:val="left"/>
        <w:rPr/>
      </w:pPr>
      <w:r>
        <w:rPr>
          <w:rFonts w:cs="Times New Roman"/>
          <w:b/>
          <w:bCs/>
          <w:i w:val="false"/>
          <w:iCs w:val="false"/>
          <w:color w:val="000000"/>
          <w:kern w:val="2"/>
          <w:sz w:val="24"/>
          <w:szCs w:val="24"/>
        </w:rPr>
        <w:t>JOEL MARQUES CALEGARO</w:t>
      </w:r>
      <w:r>
        <w:rPr>
          <w:rFonts w:cs="Times New Roman"/>
          <w:color w:val="000000"/>
          <w:sz w:val="24"/>
          <w:szCs w:val="24"/>
        </w:rPr>
        <w:t>,</w:t>
      </w:r>
    </w:p>
    <w:p>
      <w:pPr>
        <w:pStyle w:val="Normal"/>
        <w:suppressAutoHyphens w:val="true"/>
        <w:spacing w:lineRule="atLeast" w:line="100" w:before="0" w:after="0"/>
        <w:ind w:left="0" w:right="0" w:hanging="0"/>
        <w:jc w:val="left"/>
        <w:rPr>
          <w:rFonts w:eastAsia="Times New Roman" w:cs="Times New Roman"/>
          <w:b w:val="false"/>
          <w:b w:val="false"/>
          <w:bCs w:val="false"/>
          <w:color w:val="000000"/>
          <w:kern w:val="2"/>
          <w:sz w:val="24"/>
          <w:szCs w:val="24"/>
        </w:rPr>
      </w:pPr>
      <w:r>
        <w:rPr>
          <w:rFonts w:eastAsia="Times New Roman" w:cs="Times New Roman"/>
          <w:b w:val="false"/>
          <w:bCs w:val="false"/>
          <w:color w:val="000000"/>
          <w:kern w:val="2"/>
          <w:sz w:val="24"/>
          <w:szCs w:val="24"/>
        </w:rPr>
        <w:t>Seção de Compras.</w:t>
      </w:r>
    </w:p>
    <w:sectPr>
      <w:headerReference w:type="default" r:id="rId2"/>
      <w:footerReference w:type="default" r:id="rId3"/>
      <w:type w:val="nextPage"/>
      <w:pgSz w:w="11906" w:h="16838"/>
      <w:pgMar w:left="850" w:right="851" w:header="454" w:top="2802" w:footer="227" w:bottom="13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altName w:val="Trebuchet MS"/>
    <w:charset w:val="00"/>
    <w:family w:val="swiss"/>
    <w:pitch w:val="variable"/>
  </w:font>
  <w:font w:name="Courier New">
    <w:charset w:val="00"/>
    <w:family w:val="modern"/>
    <w:pitch w:val="default"/>
  </w:font>
  <w:font w:name="OpenSymbol">
    <w:altName w:val="Arial Unicode MS"/>
    <w:charset w:val="00"/>
    <w:family w:val="auto"/>
    <w:pitch w:val="default"/>
  </w:font>
  <w:font w:name="Symbol">
    <w:charset w:val="02"/>
    <w:family w:val="auto"/>
    <w:pitch w:val="default"/>
  </w:font>
  <w:font w:name="Verdana">
    <w:charset w:val="00"/>
    <w:family w:val="swiss"/>
    <w:pitch w:val="default"/>
  </w:font>
  <w:font w:name="TimesNewRomanPSMT">
    <w:charset w:val="00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left="0" w:right="0" w:firstLine="15"/>
      <w:jc w:val="center"/>
      <w:rPr>
        <w:sz w:val="20"/>
      </w:rPr>
    </w:pPr>
    <w:r>
      <w:rPr>
        <w:sz w:val="20"/>
      </w:rPr>
    </w:r>
  </w:p>
  <w:p>
    <w:pPr>
      <w:pStyle w:val="Normal"/>
      <w:ind w:left="0" w:right="0" w:firstLine="15"/>
      <w:jc w:val="center"/>
      <w:rPr>
        <w:rFonts w:ascii="TimesNewRomanPSMT" w:hAnsi="TimesNewRomanPSMT" w:eastAsia="TimesNewRomanPSMT" w:cs="TimesNewRomanPSMT"/>
        <w:sz w:val="18"/>
        <w:szCs w:val="18"/>
      </w:rPr>
    </w:pPr>
    <w:r>
      <w:rPr>
        <w:rFonts w:eastAsia="TimesNewRomanPSMT" w:cs="TimesNewRomanPSMT" w:ascii="TimesNewRomanPSMT" w:hAnsi="TimesNewRomanPSMT"/>
        <w:sz w:val="18"/>
        <w:szCs w:val="18"/>
      </w:rPr>
      <w:t>Rua Duque de Caxias, 350 – Porto Alegre/RS – CEP 90010-280</w:t>
    </w:r>
  </w:p>
  <w:p>
    <w:pPr>
      <w:pStyle w:val="Rodap"/>
      <w:ind w:left="0" w:right="0" w:firstLine="15"/>
      <w:jc w:val="center"/>
      <w:rPr/>
    </w:pPr>
    <w:r>
      <w:rPr>
        <w:rFonts w:eastAsia="TimesNewRomanPSMT" w:cs="TimesNewRomanPSMT" w:ascii="TimesNewRomanPSMT" w:hAnsi="TimesNewRomanPSMT"/>
        <w:sz w:val="18"/>
        <w:szCs w:val="18"/>
      </w:rPr>
      <w:t xml:space="preserve">www.tre-rs.jus.br - </w:t>
    </w:r>
    <w:r>
      <w:rPr>
        <w:rFonts w:eastAsia="TimesNewRomanPSMT" w:cs="TimesNewRomanPSMT" w:ascii="TimesNewRomanPSMT" w:hAnsi="TimesNewRomanPSMT"/>
        <w:sz w:val="18"/>
        <w:szCs w:val="18"/>
        <w:lang w:val="pt-BR" w:eastAsia="zxx" w:bidi="ar-SA"/>
      </w:rPr>
      <w:t>compras@tre-rs.jus.br</w:t>
    </w:r>
  </w:p>
  <w:p>
    <w:pPr>
      <w:pStyle w:val="Rodap"/>
      <w:ind w:left="0" w:right="0" w:firstLine="15"/>
      <w:jc w:val="center"/>
      <w:rPr>
        <w:rFonts w:ascii="TimesNewRomanPSMT" w:hAnsi="TimesNewRomanPSMT" w:eastAsia="TimesNewRomanPSMT" w:cs="TimesNewRomanPSMT"/>
        <w:sz w:val="18"/>
        <w:szCs w:val="18"/>
      </w:rPr>
    </w:pPr>
    <w:r>
      <w:rPr>
        <w:rFonts w:eastAsia="TimesNewRomanPSMT" w:cs="TimesNewRomanPSMT" w:ascii="TimesNewRomanPSMT" w:hAnsi="TimesNewRomanPSMT"/>
        <w:sz w:val="18"/>
        <w:szCs w:val="18"/>
      </w:rPr>
    </w:r>
  </w:p>
  <w:p>
    <w:pPr>
      <w:pStyle w:val="Rodap"/>
      <w:ind w:left="0" w:right="0" w:firstLine="15"/>
      <w:jc w:val="center"/>
      <w:rPr/>
    </w:pPr>
    <w:r>
      <w:rPr>
        <w:sz w:val="20"/>
      </w:rPr>
      <w:t xml:space="preserve">Página </w:t>
    </w:r>
    <w:r>
      <w:rPr>
        <w:sz w:val="20"/>
      </w:rPr>
      <w:fldChar w:fldCharType="begin"/>
    </w:r>
    <w:r>
      <w:rPr>
        <w:sz w:val="20"/>
      </w:rPr>
      <w:instrText> PAGE </w:instrText>
    </w:r>
    <w:r>
      <w:rPr>
        <w:sz w:val="20"/>
      </w:rPr>
      <w:fldChar w:fldCharType="separate"/>
    </w:r>
    <w:r>
      <w:rPr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de </w:t>
    </w:r>
    <w:r>
      <w:rPr>
        <w:sz w:val="20"/>
      </w:rPr>
      <w:fldChar w:fldCharType="begin"/>
    </w:r>
    <w:r>
      <w:rPr>
        <w:sz w:val="20"/>
      </w:rPr>
      <w:instrText> NUMPAGES \* ARABIC </w:instrText>
    </w:r>
    <w:r>
      <w:rPr>
        <w:sz w:val="20"/>
      </w:rPr>
      <w:fldChar w:fldCharType="separate"/>
    </w:r>
    <w:r>
      <w:rPr>
        <w:sz w:val="20"/>
      </w:rPr>
      <w:t>3</w:t>
    </w:r>
    <w:r>
      <w:rPr>
        <w:sz w:val="2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rFonts w:eastAsia="Arial" w:cs="Arial"/>
        <w:color w:val="000000"/>
        <w:sz w:val="22"/>
        <w:szCs w:val="26"/>
      </w:rPr>
    </w:pPr>
    <w:r>
      <w:rPr>
        <w:rFonts w:eastAsia="Arial" w:cs="Arial"/>
        <w:color w:val="000000"/>
        <w:sz w:val="22"/>
        <w:szCs w:val="26"/>
      </w:rPr>
      <w:drawing>
        <wp:anchor behindDoc="0" distT="0" distB="0" distL="0" distR="0" simplePos="0" locked="0" layoutInCell="0" allowOverlap="1" relativeHeight="4">
          <wp:simplePos x="0" y="0"/>
          <wp:positionH relativeFrom="column">
            <wp:align>center</wp:align>
          </wp:positionH>
          <wp:positionV relativeFrom="paragraph">
            <wp:posOffset>5080</wp:posOffset>
          </wp:positionV>
          <wp:extent cx="741680" cy="732790"/>
          <wp:effectExtent l="0" t="0" r="0" b="0"/>
          <wp:wrapSquare wrapText="largest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10" r="-10" b="-10"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rFonts w:eastAsia="Arial" w:cs="Arial"/>
        <w:b/>
        <w:b/>
        <w:color w:val="000000"/>
        <w:spacing w:val="6"/>
        <w:sz w:val="20"/>
        <w:szCs w:val="26"/>
      </w:rPr>
    </w:pPr>
    <w:r>
      <w:rPr>
        <w:rFonts w:eastAsia="Arial" w:cs="Arial"/>
        <w:b/>
        <w:color w:val="000000"/>
        <w:spacing w:val="6"/>
        <w:sz w:val="20"/>
        <w:szCs w:val="26"/>
      </w:rPr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Normal"/>
      <w:ind w:left="0" w:right="0" w:hanging="0"/>
      <w:jc w:val="center"/>
      <w:rPr>
        <w:rFonts w:ascii="Verdana" w:hAnsi="Verdana" w:eastAsia="Verdana" w:cs="Verdana"/>
        <w:sz w:val="24"/>
        <w:szCs w:val="24"/>
      </w:rPr>
    </w:pPr>
    <w:r>
      <w:rPr>
        <w:rFonts w:eastAsia="Verdana" w:cs="Verdana" w:ascii="Verdana" w:hAnsi="Verdana"/>
        <w:sz w:val="24"/>
        <w:szCs w:val="24"/>
      </w:rPr>
      <w:t>JUSTIÇA ELEITORAL</w:t>
    </w:r>
  </w:p>
  <w:p>
    <w:pPr>
      <w:pStyle w:val="Normal"/>
      <w:spacing w:before="0" w:after="567"/>
      <w:ind w:left="0" w:right="0" w:hanging="0"/>
      <w:jc w:val="center"/>
      <w:rPr>
        <w:rFonts w:ascii="Verdana" w:hAnsi="Verdana" w:eastAsia="Verdana" w:cs="Verdana"/>
        <w:b w:val="false"/>
        <w:b w:val="false"/>
        <w:bCs w:val="false"/>
        <w:color w:val="000000"/>
        <w:sz w:val="24"/>
        <w:szCs w:val="24"/>
      </w:rPr>
    </w:pPr>
    <w:r>
      <w:rPr>
        <w:rFonts w:eastAsia="Verdana" w:cs="Verdana" w:ascii="Verdana" w:hAnsi="Verdana"/>
        <w:b w:val="false"/>
        <w:bCs w:val="false"/>
        <w:color w:val="000000"/>
        <w:sz w:val="24"/>
        <w:szCs w:val="24"/>
      </w:rPr>
      <w:t>TRIBUNAL REGIONAL ELEITORAL DO RIO GRANDE DO SUL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tulo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Ttulo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Ttulo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Ttulo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Ttulo7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Ttulo8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Ttulo9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true"/>
      <w:autoSpaceDE w:val="true"/>
      <w:bidi w:val="0"/>
      <w:spacing w:before="0" w:after="0"/>
      <w:ind w:left="0" w:right="0" w:firstLine="709"/>
      <w:jc w:val="both"/>
    </w:pPr>
    <w:rPr>
      <w:rFonts w:ascii="Arial" w:hAnsi="Arial" w:eastAsia="Times New Roman" w:cs="Times New Roman"/>
      <w:color w:val="auto"/>
      <w:kern w:val="2"/>
      <w:sz w:val="24"/>
      <w:szCs w:val="20"/>
      <w:lang w:val="pt-BR" w:eastAsia="zxx" w:bidi="ar-SA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b/>
      <w:spacing w:val="20"/>
      <w:kern w:val="2"/>
      <w:sz w:val="28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smallCaps/>
    </w:rPr>
  </w:style>
  <w:style w:type="paragraph" w:styleId="Ttulo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sz w:val="24"/>
      <w:u w:val="single"/>
    </w:rPr>
  </w:style>
  <w:style w:type="paragraph" w:styleId="Ttulo4">
    <w:name w:val="Heading 4"/>
    <w:basedOn w:val="Normal"/>
    <w:next w:val="Normal"/>
    <w:qFormat/>
    <w:pPr>
      <w:keepNext w:val="true"/>
      <w:numPr>
        <w:ilvl w:val="3"/>
        <w:numId w:val="1"/>
      </w:numPr>
      <w:spacing w:before="0" w:after="0"/>
      <w:ind w:left="0" w:right="6" w:firstLine="709"/>
      <w:jc w:val="center"/>
      <w:outlineLvl w:val="3"/>
    </w:pPr>
    <w:rPr>
      <w:rFonts w:ascii="Century Gothic;Trebuchet MS" w:hAnsi="Century Gothic;Trebuchet MS" w:cs="Century Gothic;Trebuchet MS"/>
      <w:i/>
    </w:rPr>
  </w:style>
  <w:style w:type="paragraph" w:styleId="Ttulo5">
    <w:name w:val="Heading 5"/>
    <w:basedOn w:val="Normal"/>
    <w:next w:val="Normal"/>
    <w:qFormat/>
    <w:pPr>
      <w:keepNext w:val="true"/>
      <w:numPr>
        <w:ilvl w:val="4"/>
        <w:numId w:val="1"/>
      </w:numPr>
      <w:spacing w:before="0" w:after="0"/>
      <w:ind w:left="0" w:right="6" w:firstLine="709"/>
      <w:jc w:val="center"/>
      <w:outlineLvl w:val="4"/>
    </w:pPr>
    <w:rPr>
      <w:rFonts w:ascii="Times New Roman" w:hAnsi="Times New Roman" w:cs="Times New Roman"/>
      <w:b/>
      <w:sz w:val="28"/>
    </w:rPr>
  </w:style>
  <w:style w:type="paragraph" w:styleId="Ttulo6">
    <w:name w:val="Heading 6"/>
    <w:basedOn w:val="Normal"/>
    <w:next w:val="Normal"/>
    <w:qFormat/>
    <w:pPr>
      <w:keepNext w:val="true"/>
      <w:numPr>
        <w:ilvl w:val="5"/>
        <w:numId w:val="1"/>
      </w:numPr>
      <w:spacing w:before="0" w:after="0"/>
      <w:ind w:left="0" w:right="0" w:hanging="0"/>
      <w:jc w:val="center"/>
      <w:outlineLvl w:val="5"/>
    </w:pPr>
    <w:rPr>
      <w:b/>
      <w:i/>
    </w:rPr>
  </w:style>
  <w:style w:type="paragraph" w:styleId="Ttulo7">
    <w:name w:val="Heading 7"/>
    <w:basedOn w:val="Normal"/>
    <w:next w:val="Normal"/>
    <w:qFormat/>
    <w:pPr>
      <w:keepNext w:val="true"/>
      <w:numPr>
        <w:ilvl w:val="6"/>
        <w:numId w:val="1"/>
      </w:numPr>
      <w:spacing w:before="0" w:after="0"/>
      <w:ind w:left="0" w:right="0" w:hanging="0"/>
      <w:jc w:val="center"/>
      <w:outlineLvl w:val="6"/>
    </w:pPr>
    <w:rPr>
      <w:b/>
      <w:i/>
      <w:sz w:val="22"/>
    </w:rPr>
  </w:style>
  <w:style w:type="paragraph" w:styleId="Ttulo8">
    <w:name w:val="Heading 8"/>
    <w:basedOn w:val="Normal"/>
    <w:next w:val="Normal"/>
    <w:qFormat/>
    <w:pPr>
      <w:keepNext w:val="true"/>
      <w:numPr>
        <w:ilvl w:val="7"/>
        <w:numId w:val="1"/>
      </w:numPr>
      <w:spacing w:before="0" w:after="0"/>
      <w:ind w:left="0" w:right="759" w:hanging="0"/>
      <w:jc w:val="center"/>
      <w:outlineLvl w:val="7"/>
    </w:pPr>
    <w:rPr>
      <w:b/>
      <w:sz w:val="32"/>
    </w:rPr>
  </w:style>
  <w:style w:type="paragraph" w:styleId="Ttulo9">
    <w:name w:val="Heading 9"/>
    <w:basedOn w:val="Normal"/>
    <w:next w:val="Normal"/>
    <w:qFormat/>
    <w:pPr>
      <w:keepNext w:val="true"/>
      <w:numPr>
        <w:ilvl w:val="8"/>
        <w:numId w:val="1"/>
      </w:numPr>
      <w:spacing w:before="0" w:after="0"/>
      <w:ind w:left="0" w:right="0" w:hanging="0"/>
      <w:outlineLvl w:val="8"/>
    </w:pPr>
    <w:rPr>
      <w:b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Fontepargpadro">
    <w:name w:val="Fonte parág. padrão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Fontepargpadro">
    <w:name w:val="WW-Fonte parág. padrão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14z0">
    <w:name w:val="WW8Num14z0"/>
    <w:qFormat/>
    <w:rPr>
      <w:b/>
    </w:rPr>
  </w:style>
  <w:style w:type="character" w:styleId="WW8Num19z0">
    <w:name w:val="WW8Num19z0"/>
    <w:qFormat/>
    <w:rPr>
      <w:b/>
    </w:rPr>
  </w:style>
  <w:style w:type="character" w:styleId="WWFontepargpadro1">
    <w:name w:val="WW-Fonte parág. padrão1"/>
    <w:qFormat/>
    <w:rPr/>
  </w:style>
  <w:style w:type="character" w:styleId="Nmerodepgina">
    <w:name w:val="Número de página"/>
    <w:basedOn w:val="WWFontepargpadro1"/>
    <w:rPr/>
  </w:style>
  <w:style w:type="character" w:styleId="Refdecomentrio">
    <w:name w:val="Ref. de comentário"/>
    <w:basedOn w:val="WWFontepargpadro1"/>
    <w:qFormat/>
    <w:rPr>
      <w:sz w:val="16"/>
    </w:rPr>
  </w:style>
  <w:style w:type="character" w:styleId="Hiperlink">
    <w:name w:val="Hiperlink"/>
    <w:qFormat/>
    <w:rPr>
      <w:color w:val="0000FF"/>
      <w:u w:val="single"/>
    </w:rPr>
  </w:style>
  <w:style w:type="character" w:styleId="Typewriter">
    <w:name w:val="Typewriter"/>
    <w:qFormat/>
    <w:rPr>
      <w:rFonts w:ascii="Courier New" w:hAnsi="Courier New" w:cs="Courier New"/>
      <w:sz w:val="20"/>
    </w:rPr>
  </w:style>
  <w:style w:type="character" w:styleId="LinkdaInternet">
    <w:name w:val="Link da Internet"/>
    <w:basedOn w:val="WWFontepargpadro1"/>
    <w:rPr>
      <w:color w:val="0000FF"/>
      <w:u w:val="single"/>
    </w:rPr>
  </w:style>
  <w:style w:type="character" w:styleId="Linkdainternetvisitado">
    <w:name w:val="Link da internet visitado"/>
    <w:basedOn w:val="WWFontepargpadro1"/>
    <w:rPr>
      <w:color w:val="800080"/>
      <w:u w:val="single"/>
    </w:rPr>
  </w:style>
  <w:style w:type="character" w:styleId="Marcas">
    <w:name w:val="Marcas"/>
    <w:qFormat/>
    <w:rPr>
      <w:rFonts w:ascii="OpenSymbol;Arial Unicode MS" w:hAnsi="OpenSymbol;Arial Unicode MS" w:eastAsia="OpenSymbol;Arial Unicode MS" w:cs="OpenSymbol;Arial Unicode MS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Smbolosdenumerao">
    <w:name w:val="Símbolos de numeração"/>
    <w:qFormat/>
    <w:rPr>
      <w:rFonts w:ascii="Times New Roman" w:hAnsi="Times New Roman" w:eastAsia="Times New Roman" w:cs="Times New Roman"/>
      <w:color w:val="000000"/>
      <w:szCs w:val="24"/>
      <w:shd w:fill="auto" w:val="clear"/>
      <w:lang w:val="pt-BR"/>
    </w:rPr>
  </w:style>
  <w:style w:type="character" w:styleId="WW8Num18z0">
    <w:name w:val="WW8Num18z0"/>
    <w:qFormat/>
    <w:rPr>
      <w:b/>
    </w:rPr>
  </w:style>
  <w:style w:type="character" w:styleId="WW8Num13z0">
    <w:name w:val="WW8Num13z0"/>
    <w:qFormat/>
    <w:rPr>
      <w:b/>
    </w:rPr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DefaultParagraphFont">
    <w:name w:val="Default Paragraph Font"/>
    <w:qFormat/>
    <w:rPr/>
  </w:style>
  <w:style w:type="character" w:styleId="Caracteresdenotaderodap">
    <w:name w:val="Caracteres de nota de rodapé"/>
    <w:qFormat/>
    <w:rPr/>
  </w:style>
  <w:style w:type="character" w:styleId="Ncoradanotaderodap">
    <w:name w:val="Âncora da nota de rodapé"/>
    <w:rPr>
      <w:vertAlign w:val="superscript"/>
    </w:rPr>
  </w:style>
  <w:style w:type="character" w:styleId="Caracteresdenotadefim">
    <w:name w:val="Caracteres de nota de fim"/>
    <w:qFormat/>
    <w:rPr/>
  </w:style>
  <w:style w:type="character" w:styleId="Ncoradanotadefim">
    <w:name w:val="Âncora da nota de fim"/>
    <w:rPr>
      <w:vertAlign w:val="superscript"/>
    </w:rPr>
  </w:style>
  <w:style w:type="character" w:styleId="Nfaseforte">
    <w:name w:val="Ênfase forte"/>
    <w:qFormat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Corpodotexto">
    <w:name w:val="Body Text"/>
    <w:basedOn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0" w:after="0"/>
      <w:ind w:left="0" w:right="0" w:hanging="0"/>
      <w:jc w:val="left"/>
    </w:pPr>
    <w:rPr>
      <w:b/>
      <w:sz w:val="20"/>
    </w:rPr>
  </w:style>
  <w:style w:type="paragraph" w:styleId="Lista">
    <w:name w:val="List"/>
    <w:basedOn w:val="Corpodo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/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Arial" w:hAnsi="Arial" w:eastAsia="Lucida Sans Unicode" w:cs="Arial"/>
      <w:sz w:val="28"/>
      <w:szCs w:val="28"/>
    </w:rPr>
  </w:style>
  <w:style w:type="paragraph" w:styleId="Subttulo">
    <w:name w:val="Subtitle"/>
    <w:basedOn w:val="Ttulododocumento"/>
    <w:next w:val="Corpodotexto"/>
    <w:qFormat/>
    <w:pPr>
      <w:jc w:val="center"/>
    </w:pPr>
    <w:rPr>
      <w:i/>
      <w:iCs/>
      <w:sz w:val="28"/>
      <w:szCs w:val="28"/>
    </w:rPr>
  </w:style>
  <w:style w:type="paragraph" w:styleId="WWTtulo">
    <w:name w:val="WW-Título"/>
    <w:basedOn w:val="Ttulododocumento"/>
    <w:next w:val="Subttulo"/>
    <w:qFormat/>
    <w:pPr/>
    <w:rPr/>
  </w:style>
  <w:style w:type="paragraph" w:styleId="Estilo1">
    <w:name w:val="Estilo1"/>
    <w:basedOn w:val="Ttulo2"/>
    <w:qFormat/>
    <w:pPr>
      <w:numPr>
        <w:ilvl w:val="0"/>
        <w:numId w:val="0"/>
      </w:numPr>
      <w:spacing w:before="0" w:after="0"/>
      <w:ind w:left="0" w:right="0" w:firstLine="709"/>
    </w:pPr>
    <w:rPr>
      <w:b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Rodap">
    <w:name w:val="Footer"/>
    <w:basedOn w:val="Normal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Cabealho">
    <w:name w:val="Header"/>
    <w:basedOn w:val="Normal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Recuodecorpodetexto2">
    <w:name w:val="Recuo de corpo de texto 2"/>
    <w:basedOn w:val="Normal"/>
    <w:qFormat/>
    <w:pPr>
      <w:spacing w:before="0" w:after="0"/>
      <w:ind w:left="0" w:right="6" w:firstLine="709"/>
    </w:pPr>
    <w:rPr>
      <w:rFonts w:ascii="Century Gothic;Trebuchet MS" w:hAnsi="Century Gothic;Trebuchet MS" w:cs="Century Gothic;Trebuchet MS"/>
      <w:b/>
    </w:rPr>
  </w:style>
  <w:style w:type="paragraph" w:styleId="Corpodotextorecuado">
    <w:name w:val="Body Text Indent"/>
    <w:basedOn w:val="Normal"/>
    <w:pPr>
      <w:spacing w:before="0" w:after="0"/>
      <w:ind w:left="0" w:right="6" w:firstLine="709"/>
    </w:pPr>
    <w:rPr>
      <w:rFonts w:ascii="Century Gothic;Trebuchet MS" w:hAnsi="Century Gothic;Trebuchet MS" w:cs="Century Gothic;Trebuchet MS"/>
    </w:rPr>
  </w:style>
  <w:style w:type="paragraph" w:styleId="Textodecomentrio">
    <w:name w:val="Texto de comentário"/>
    <w:basedOn w:val="Normal"/>
    <w:qFormat/>
    <w:pPr/>
    <w:rPr>
      <w:sz w:val="20"/>
    </w:rPr>
  </w:style>
  <w:style w:type="paragraph" w:styleId="Recuodecorpodetexto3">
    <w:name w:val="Recuo de corpo de texto 3"/>
    <w:basedOn w:val="Normal"/>
    <w:qFormat/>
    <w:pPr>
      <w:spacing w:before="0" w:after="0"/>
      <w:ind w:left="0" w:right="760" w:firstLine="709"/>
    </w:pPr>
    <w:rPr>
      <w:b/>
    </w:rPr>
  </w:style>
  <w:style w:type="paragraph" w:styleId="Corpodetexto2">
    <w:name w:val="Corpo de texto 2"/>
    <w:basedOn w:val="Normal"/>
    <w:qFormat/>
    <w:pPr>
      <w:spacing w:before="0" w:after="0"/>
      <w:ind w:left="0" w:right="0" w:hanging="0"/>
    </w:pPr>
    <w:rPr>
      <w:b/>
    </w:rPr>
  </w:style>
  <w:style w:type="paragraph" w:styleId="Corpodetexto3">
    <w:name w:val="Corpo de texto 3"/>
    <w:basedOn w:val="Normal"/>
    <w:qFormat/>
    <w:pPr>
      <w:spacing w:before="0" w:after="0"/>
      <w:ind w:left="0" w:right="3453" w:hanging="0"/>
    </w:pPr>
    <w:rPr>
      <w:rFonts w:ascii="Century Gothic;Trebuchet MS" w:hAnsi="Century Gothic;Trebuchet MS" w:cs="Century Gothic;Trebuchet MS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Contedodoquadro">
    <w:name w:val="Conteúdo do quadro"/>
    <w:basedOn w:val="Corpodotexto"/>
    <w:qFormat/>
    <w:pPr/>
    <w:rPr/>
  </w:style>
  <w:style w:type="paragraph" w:styleId="BodyTextIndent">
    <w:name w:val="Body Text Indent"/>
    <w:basedOn w:val="Normal"/>
    <w:qFormat/>
    <w:pPr>
      <w:spacing w:before="0" w:after="0"/>
      <w:ind w:left="0" w:right="6" w:firstLine="709"/>
      <w:jc w:val="left"/>
    </w:pPr>
    <w:rPr>
      <w:rFonts w:ascii="Century Gothic;Trebuchet MS" w:hAnsi="Century Gothic;Trebuchet MS" w:cs="Century Gothic;Trebuchet MS"/>
      <w:lang w:val="en-US" w:eastAsia="pt-BR"/>
    </w:rPr>
  </w:style>
  <w:style w:type="paragraph" w:styleId="Footer">
    <w:name w:val="footer"/>
    <w:basedOn w:val="Normal"/>
    <w:qFormat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Contedodequadro">
    <w:name w:val="Conteúdo de quadro"/>
    <w:basedOn w:val="Corpodotexto"/>
    <w:qFormat/>
    <w:pPr/>
    <w:rPr/>
  </w:style>
  <w:style w:type="paragraph" w:styleId="Contedodetabela">
    <w:name w:val="Conteúdo de tabela"/>
    <w:basedOn w:val="Normal"/>
    <w:qFormat/>
    <w:pPr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198</TotalTime>
  <Application>LibreOffice/7.0.5.2$Windows_x86 LibreOffice_project/64390860c6cd0aca4beafafcfd84613dd9dfb63a</Application>
  <AppVersion>15.0000</AppVersion>
  <Pages>3</Pages>
  <Words>896</Words>
  <Characters>4984</Characters>
  <CharactersWithSpaces>5876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2021-07-27T14:09:59Z</dcterms:created>
  <dc:creator/>
  <dc:description/>
  <dc:language>pt-BR</dc:language>
  <cp:lastModifiedBy/>
  <dcterms:modified xsi:type="dcterms:W3CDTF">2021-07-27T13:48:57Z</dcterms:modified>
  <cp:revision>123</cp:revision>
  <dc:subject/>
  <dc:title>TRIBUNAL REGIONAL ELEITORAL</dc:title>
</cp:coreProperties>
</file>